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继教字【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20号</w:t>
      </w:r>
    </w:p>
    <w:p>
      <w:pPr>
        <w:pStyle w:val="2"/>
        <w:widowControl/>
        <w:ind w:left="0" w:leftChars="0" w:firstLine="0" w:firstLineChars="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云南师范大学高等学历继续教育本科生毕业论文（设计）管理规定（2021年修订）</w:t>
      </w:r>
    </w:p>
    <w:p>
      <w:pPr>
        <w:spacing w:line="4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组 织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高等学历继续教育本科生毕业论文（设计）是成人高等教育教学计划的重要组成部分，是培养学生综合运用所学的基本理论、基本知识和基本技能，发现、提出、分析和解决问题，锻炼实践能力的重要途径，是实现培养目标、保证人才培养质量的重要保证。为切实做好我校高等学历继续教育本科生毕业论文（设计）的管理工作，规范本科生论文（设计）工作的各个环节，进一步提高论文（设计）的质量，特制定本管理规定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毕业论文（设计）工作由继续教育学院负责管理，各函授站点（教学点）、各教学学院负责组织实施；校内直管班由继续教育学院教务科负责组织实施。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（一）继续教育学院职责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1.统一管理毕业论文（设计）工作，对毕业论文（设计）进行宏观指导，协调解决有关毕业论文（设计）工作的主要问题；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2.负责毕业论文（设计）工作的考核、评估等，对毕业论文（设计）教学过程中各个环节进行质量监控和检查；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3.做好毕业论文（设计）的存档工作(电子版）。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（二）函授站点（教学点）、各教学学院及继续教育学院教务科职责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1.为学生确定指导教师。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2.检查指导教师的工作情况，发现问题及时解决。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3.对指导教师的评分进行审核。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4.组织毕业论文（设计）答辩工作，并写出答辩意见。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5.负责毕业论文（设计）成绩分析、汇总、上报，总结毕业论文（设计）工作经验。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6.做好毕业论文（设计）及相关材料的归档工作。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函授站（教学点）、各教学学院要切实加强对本科学生毕业论文（设计）教学环节的管理，要根据人才培养目标和教学基本要求及各专业的不同特点，认真安排此项工作的各个环节。要认真抓好检查监督，切实加强指导教师对学生毕业论文（设计）的指导、评定工作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专升本层次毕业论文（设计）一般安排在第五至第六学期进行；高起本层次毕业论文（设计）一般安排在第九至第十学期进行。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函授站（教学点）、学院应在学制结束前一年确定毕业论文（设计）选题，确定指导教师；在毕业前一学期完成初稿，并提交指导教师审阅；修改后的论文（设计）在最后一学期面授初交指导教师，并在最后一学期组织答辩与成绩认定工作。</w:t>
      </w: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选 题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毕业论文（设计）的选题，应切合培养目标，保证达到该毕业论文（设计）的质量标准。具体要求如下：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(一)毕业论文（设计）的选题范围和深度应符合学生在校所学理论和实践技能的实际情况，尽可能反应现代科学技术发展水平。选题要具有一定的理论价值和现实指导意义，有一定的新颖性和创新性。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(二)选题要注重源于现实，并为现实服务，保证能够用已经掌握的专业知识，去寻找和解决实践中亟待解决的问题。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(三)学生选题必须考虑自己的主、客观条件，量力而行，选择客观上需要，主观上又有能力完成的题目。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(四）毕业论文（设计）的选题必须一人一题，在学生开始毕业论文（设计）前两个月确定，以便安排指导教师。同一论文（设计）题目不能重复使用。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指 导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为保证论文（设计）质量，由函授站（教学点）或各教学学院选派指导教师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选派责任心强，具有中级职称以上职称（含中级职称）或具有博士学位、且教学经验丰富、学术水平较高、工作责任心强的人员担任。每位指导教师指导学生的人数严格控制在8-10人以内。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函授站（教学点）论文（设计）指导教师情况需要向继续教育学院教务科备案。指导教师具体职责如下：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（一）指导教师要结合学生实际情况，协助学生落实选题，以严谨的科学态度对学生进行精心指导。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（二）指导教师要定期检查学生毕业论文（设计）的进度，并对学生毕业论文（设计）提出改进的意见或建议。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（三）指导教师要评阅学生的毕业论文（设计），评定成绩，写出评语，包括：对论文（设计）内容的评价、对学生综合能力的评估、对学生在论文（设计）过程中的工作态度及写作水平的评定，指出论文（设计）中的不足和改进方向。同时指导学生做好毕业论文（设计）答辩准备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（四）指导教师须参加论文（设计）答辩会。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过程管理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毕业论文（设计）的过程主要包括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确定选题、</w:t>
      </w:r>
      <w:r>
        <w:rPr>
          <w:rFonts w:hint="eastAsia" w:ascii="仿宋" w:hAnsi="仿宋" w:eastAsia="仿宋" w:cs="Times New Roman"/>
          <w:sz w:val="32"/>
          <w:szCs w:val="32"/>
        </w:rPr>
        <w:t>撰写毕业论文（设计）、毕业论文（设计）答辩等环节，继续教育学院将根据毕业论文（设计）工作进度，对函授站（教学点）开题、答辩等环节进行检查。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审查，包括政治思想审查和学术审查。政治思想审查，遵守法律法规和有关方针政策，确保论文（设计）有正确的政治方向和价值取向；专业学术审查，遵守专业毕业论文（设计）学术规范，严格防止不端行为，保证毕业学生的学术素养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答辩及成绩认定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答辩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（一）本科毕业论文（设计）必须进行答辩方能取得成绩。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毕业论文答辩由答辩委员会主持。函授站（教学点）或各教学学院自行组织本函授站（教学点）或本学院答辩委员会。函授站（教学点）答辩委员会成员名单须向继续教育学院报备。答辩委员会由副教授以上职称5-7人组成。答辩委员会的主要职责有：组织答辩小组，聘请答辩小组成员；答辩小组必须由中级以上职称（含中级职称）或具有博士学位人员担任，每组不少于3人，答辩小组设组长1人；领导并组织答辩具体工作；审定学生毕业论文（设计）的最后成绩及评语。指导教师不得参加自己指导的学生所在的答辩组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（三）答辩要求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1.函授站（教学点）、各教学学院应根据毕业论文（设计）的内容安排学生到各答辩小组进行答辩，参加各小组答辩的学生都必须自始至终旁听小组答辩。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2.学生必须认真准备答辩，介绍论文（设计）概况，包括选题缘由、研究意义、研究方法、论文（设计）结构、研究结论、存在问题等，时间为10分钟以内；答辩中每位学生至少回答3个以上的不同问题。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3.答辩小组根据答辩情况和质量，参照评分标准写出评语，给出成绩。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4.答辩小组认真做好答辩记录，并作为毕业论文（设计）档案妥善保管。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（四）学生有下列情形之一者，不得参加答辩：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1.未按时提交论文（设计）相关材料的；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2.未经指导教师同意的；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3.毕业论文（设计）重复率达20%及以上的；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毕业论文（设计）成绩评定及标准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毕业论文（设计）的成绩根据毕业论文（设计）的创新性、学术性、规范性、文字表达能力以及学生答辩等情况综合评定。毕业论文（设计）的成绩评定主要包括指导教师评定、答辩委员会评定。毕业论文（设计）最终评定成绩以答辩委员会意见为准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（二）学生向函授站（教学点）、各教学学院提交毕业论文（设计）定稿，函授站（教学点）、各教学学院进行重复率检测，通过检测的毕业论文（设计）由指导教师和评阅教师进行成绩评定。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毕业论文（设计）应该根据写作过程、质量与答辩情况三方面综合考核，评分成绩采用百分制记分。评分由答辩小组以无记名投票和集体讨论方式给出，经函授站（教学点）、各教学学院签字备案后，再上报继续教育学院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1.90分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</w:t>
      </w:r>
      <w:r>
        <w:rPr>
          <w:rFonts w:hint="eastAsia" w:ascii="仿宋" w:hAnsi="仿宋" w:eastAsia="仿宋" w:cs="Times New Roman"/>
          <w:sz w:val="32"/>
          <w:szCs w:val="32"/>
        </w:rPr>
        <w:t>以上：能很好地综合运用所学知识，能以明确的观点、方法提出问题并能够创见性地解决问题。论文（设计）内容充实具体，层次清楚，图表清晰，文笔流畅，工作态度认真负责，答辩时回答准确无误，表达清晰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2.80分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</w:t>
      </w:r>
      <w:r>
        <w:rPr>
          <w:rFonts w:hint="eastAsia" w:ascii="仿宋" w:hAnsi="仿宋" w:eastAsia="仿宋" w:cs="Times New Roman"/>
          <w:sz w:val="32"/>
          <w:szCs w:val="32"/>
        </w:rPr>
        <w:t>以上：能较好地综合运用所学知识，能以正确的观点、方法提出和解决问题。论文（设计）内容充实，层次结构合理，图表清楚，文笔流畅，工作态度认真，答辩时回答问题正确，表达清楚。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3.70分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</w:t>
      </w:r>
      <w:r>
        <w:rPr>
          <w:rFonts w:hint="eastAsia" w:ascii="仿宋" w:hAnsi="仿宋" w:eastAsia="仿宋" w:cs="Times New Roman"/>
          <w:sz w:val="32"/>
          <w:szCs w:val="32"/>
        </w:rPr>
        <w:t>以上：能运用所学知识，以较正确的观点、方法，一般化地提出问题和解决问题。论文（设计）内容比较充实具体，结构、层次合理，工作态度认真，答辩时回答问题较正确，表达能力较好。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4.60分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</w:t>
      </w:r>
      <w:r>
        <w:rPr>
          <w:rFonts w:hint="eastAsia" w:ascii="仿宋" w:hAnsi="仿宋" w:eastAsia="仿宋" w:cs="Times New Roman"/>
          <w:sz w:val="32"/>
          <w:szCs w:val="32"/>
        </w:rPr>
        <w:t>以上：基本上能运用所学知识分析问题、解决问题，论文（设计）内容一般，分析论证不够充分，图表、计算等无大失误，工作态度较认真，答辩时，回答问题无大的失误，能说清问题。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5.60分以下：有以下情况之一者，论文（设计）为不及格，需重写。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(1)没能掌握必要的基本理论和专业知识，论文（设计）存在严重错误的。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(2)论文（设计）层次结构不合理，不合要求且答辩时不能回答提问或回答有严重错误的。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(3)论文（设计）全部或部分抄袭他人成果且重复率为20%及以上。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（四）凡毕业论文（设计）不合格的，不能取得毕业证书。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严格毕业论文（设计）写作的规范性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毕业论文（设计）撰写按照规范要求进行，具体要求见《云南师范大学高等学历继续教育本科毕业论文（设计）规范要求》（附件1）。毕业论文（设计）篇幅，原则上理科不少于4000字、文科不少于6000字，艺术类、体育类等特殊专业由学院酌情确定毕业论文（设计）字数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毕业论文（设计）的装订与存档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所有论文（设计）一律采用Word文档、A4纸双面打印、电子版和纸质版由各函授站统一保管，并提交电子版至继续教育学院教务科备案。毕业论文（设计）须保存五年以上。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毕业论文（设计）按照以下要求装订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（一）毕业论文（设计）答辩评审表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（二）封面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（三）本科毕业论文（设计）正文部分（含目录、题目、摘要、关键词、正文、参考文献等）；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（四）毕业论文（设计）检测报告首页（学生、指导教师签字）；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（五）毕业论文（设计）诚信承诺书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本规定自公布之日起执行，由继续教育学院负责解释。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" w:hAnsi="仿宋" w:eastAsia="仿宋" w:cs="Times New Roman"/>
          <w:sz w:val="32"/>
          <w:szCs w:val="32"/>
        </w:rPr>
        <w:t xml:space="preserve"> 云南师范大学成人高等教育毕业论文（设计）工作实施细则（实行）（2009年3月）同时废止。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云南师范大学高等学历继续教育本科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Times New Roman"/>
          <w:sz w:val="32"/>
          <w:szCs w:val="32"/>
        </w:rPr>
        <w:t>毕业论文（设计）规范要求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　　　　　　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　　　　　　　　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ind w:firstLine="4160" w:firstLineChars="13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云南师范大学继续教育学院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　　　　　　　　　　　　2021年11月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thick"/>
        </w:rPr>
      </w:pPr>
    </w:p>
    <w:p>
      <w:pPr>
        <w:widowControl w:val="0"/>
        <w:spacing w:line="80" w:lineRule="exact"/>
        <w:ind w:firstLine="0" w:firstLineChars="0"/>
        <w:rPr>
          <w:rFonts w:ascii="仿宋_GB2312" w:hAnsi="Times New Roman" w:eastAsia="仿宋_GB2312" w:cs="Times New Roman"/>
          <w:sz w:val="28"/>
          <w:szCs w:val="28"/>
          <w:u w:val="thick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thick"/>
        </w:rPr>
        <w:t xml:space="preserve">                                                              </w:t>
      </w:r>
    </w:p>
    <w:p>
      <w:pPr>
        <w:widowControl w:val="0"/>
        <w:spacing w:line="440" w:lineRule="exact"/>
        <w:ind w:firstLine="0" w:firstLineChars="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院内发送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各领导、各函授站及班主任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widowControl w:val="0"/>
        <w:spacing w:line="80" w:lineRule="exact"/>
        <w:ind w:firstLine="0" w:firstLineChars="0"/>
        <w:rPr>
          <w:rFonts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   </w:t>
      </w:r>
    </w:p>
    <w:p>
      <w:pPr>
        <w:widowControl w:val="0"/>
        <w:spacing w:line="440" w:lineRule="exact"/>
        <w:ind w:left="0" w:leftChars="0" w:firstLine="0" w:firstLineChars="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云南师范大学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继续教育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学院办公室   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日印发</w:t>
      </w: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thick"/>
        </w:rPr>
        <w:t xml:space="preserve">                                                              </w:t>
      </w:r>
    </w:p>
    <w:p>
      <w:pPr>
        <w:widowControl w:val="0"/>
        <w:spacing w:line="80" w:lineRule="exact"/>
        <w:ind w:firstLine="0" w:firstLineChars="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附件</w:t>
      </w:r>
    </w:p>
    <w:p>
      <w:pPr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云南师范大学高等学历继续教育本科毕业论文（设计）规范要求</w:t>
      </w:r>
    </w:p>
    <w:p>
      <w:pPr>
        <w:spacing w:line="360" w:lineRule="auto"/>
        <w:ind w:firstLine="562" w:firstLineChars="20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（2021年11月修订）</w:t>
      </w:r>
    </w:p>
    <w:p>
      <w:pPr>
        <w:spacing w:line="460" w:lineRule="exact"/>
        <w:ind w:firstLine="435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毕业论文（设计）是本科教学的重要实践环节，是培养学生综合运用本学科的基本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知识和基本技能，分析、解决实际问题和某些理论问题，培养学生科学研究、创新意识、</w:t>
      </w:r>
      <w:r>
        <w:rPr>
          <w:rFonts w:hint="eastAsia" w:ascii="仿宋" w:hAnsi="仿宋" w:eastAsia="仿宋" w:cs="仿宋"/>
          <w:sz w:val="28"/>
          <w:szCs w:val="28"/>
        </w:rPr>
        <w:t>创新能力，提高学生素质的重要途径；它既是对学生素质与综合能力的一次全面检验， 又是对学生的毕业资格和学位资格认证的重要依据。为了统一和规范我校高等学历继续教育本科生毕业论文（设计）的写作，保证本科毕业论文（设计）的质量，特参考《云南师范大学本科生毕业论文（设计）撰写基本规范》的有关标准，制定本毕业论文（设计）撰写基本规范。</w:t>
      </w:r>
    </w:p>
    <w:p>
      <w:pPr>
        <w:pStyle w:val="4"/>
        <w:numPr>
          <w:ilvl w:val="0"/>
          <w:numId w:val="1"/>
        </w:numPr>
        <w:spacing w:before="2" w:line="460" w:lineRule="exact"/>
        <w:ind w:left="58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毕业论文（设计）内容构成</w:t>
      </w:r>
    </w:p>
    <w:p>
      <w:pPr>
        <w:pStyle w:val="4"/>
        <w:spacing w:before="2" w:line="460" w:lineRule="exact"/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</w:t>
      </w:r>
      <w:r>
        <w:rPr>
          <w:rFonts w:hint="eastAsia" w:ascii="仿宋" w:hAnsi="仿宋" w:eastAsia="仿宋" w:cs="仿宋"/>
          <w:sz w:val="28"/>
          <w:szCs w:val="28"/>
          <w:lang w:val="en-US" w:bidi="ar-SA"/>
        </w:rPr>
        <w:t>业论文（设计）文本部分应由以下几部分构成：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（一）前置部分</w:t>
      </w:r>
      <w:r>
        <w:rPr>
          <w:rFonts w:hint="eastAsia" w:ascii="仿宋" w:hAnsi="仿宋" w:eastAsia="仿宋" w:cs="仿宋"/>
          <w:sz w:val="28"/>
          <w:szCs w:val="28"/>
        </w:rPr>
        <w:t>：毕业论文（设计）答辩评审表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（二）正文部分</w:t>
      </w:r>
      <w:r>
        <w:rPr>
          <w:rFonts w:hint="eastAsia" w:ascii="仿宋" w:hAnsi="仿宋" w:eastAsia="仿宋" w:cs="仿宋"/>
          <w:sz w:val="28"/>
          <w:szCs w:val="28"/>
        </w:rPr>
        <w:t>：毕业论文（设计）题目、摘要、关键词、前言、文献综述、理论框架、研究方法、讨论分析、结论、参考文献。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（三）附录部分</w:t>
      </w:r>
      <w:r>
        <w:rPr>
          <w:rFonts w:hint="eastAsia" w:ascii="仿宋" w:hAnsi="仿宋" w:eastAsia="仿宋" w:cs="仿宋"/>
          <w:sz w:val="28"/>
          <w:szCs w:val="28"/>
        </w:rPr>
        <w:t>：毕业论文（设计）检测报告首页（学生、指导教师签字）；毕业论文（设计）诚信承诺书。</w:t>
      </w:r>
    </w:p>
    <w:p>
      <w:pPr>
        <w:pStyle w:val="4"/>
        <w:spacing w:before="0" w:line="460" w:lineRule="exact"/>
        <w:ind w:left="0" w:firstLine="562" w:firstLineChars="200"/>
        <w:rPr>
          <w:rFonts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二、毕业论文（设计）撰写内容要求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毕业论文（设计）的所有文本材料一律采用 A4 幅面白纸，统一封存归档。表格中的各项成绩评定和各级意见一律手写，不能打印，其余文本均须按照统一样式以计算机排版。除毕业论文（设计）答辩评审表单面打印外，其它文本可双面打印。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（一）论文题目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论文题目要简明扼要，能体现论文（设计）的核心内容、专业特点和学科范畴，用词规范，简短、明确，有概括性，不超过25个汉字，不得使用标点符号、缩略语或外文缩写词。必要时可加副标题。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（二）论文摘要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论文摘要以浓缩的形式概括研究课题的内容，应具有独立性和自含性。摘要应语句通顺，文字流畅；一般不宜使用图表，不标注引用文献编号。中文摘要一般以 150∽200 个汉字为宜，英文摘要应与中文摘要基本相对应，文字表达自然流畅，无语法错误。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（三）关键词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关键词是供检索用的主题词条，应采用表述论文主题内容信息的单词或术语，一般以 3～5 个为宜。每一个关键词之间用分号隔开，最后一个关键词后不使用标点符号。为便于查询，应标注与中文对应的英文关键词。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（四）前言(引言) 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主要包括背景(为什么选题)、目的、假设、研究问题、研究意义、论文（设计）结构。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（五）文献综述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1.所研究问题的历史、现状、趋势；国内国外研究成果(从古到今有权威性的、有代表性的，具体到人、年代；包括至少近三年有代表性的研究成果)；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2.评价不足，找出局限性；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3.提出自己的研究问题，显示独创性、学术意义、实践性。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（六）理论框架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1.对研究工作的理论框架作概述；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2.对所涉及的主要术语作解释。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（七）研究方法</w:t>
      </w:r>
    </w:p>
    <w:p>
      <w:pPr>
        <w:spacing w:line="460" w:lineRule="exact"/>
        <w:ind w:firstLine="859" w:firstLineChars="30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要求具体说明所用的研究方法，如：文献法、实验法等。   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（八）讨论分析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各专业可不同，但都要将文本、实验结果、数据同前面的文献综述、理论框架和研究方法联系起来讨论，体现其学术性，理论性和深度。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（九）结论 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1.主要发现或主要观点；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2.启示和意义；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3.局限；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4.努力方向或今后的研究建议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（十）参考文献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即对正文中引用或参考的有关著作和文献进行说明的形式。毕业论文（设计）的撰写应本着严谨求实的科学态度，凡有引用他人成果之处，均应按引文出现的先后顺序列于参考文献中。参考文献按正文中引用、参考出现的顺序列出，附于文末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1.一律采用文内参考书注释法（文内注释和尾注一致）各学科根据本学科的国际标准）；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2.须有近三年的研究成果；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3.要有最权威的著作、论文（设计）；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4.要有一定的外文参考书籍、文章；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5.本科学位论文（设计）参考书、文章不少于15项。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（十一）注释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是对论文（设计）中有需要解释或说明的情况时，在文中加注说明的形式，与参考文献区别。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（十二）附录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对于一些不宜放在正文中，但有重要参考价值的内容，如调查问卷、公式推演、编写程序、原始数据附表等，可编入毕业论文（设计）的附录中。一般附录的篇幅不宜超过正文（无附录内容的该项可缺）。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三、撰写格式规范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（一）文字和页面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论文（设计）理科不少于4000字、文科不少于6000字，艺术类、体育类等特殊专业由学院酌情确定毕业论文（设计）字数。毕业论文（设计）一律用计算机输入排版，封面及答辩评审表格式以继续教育学院下发的为准。除毕业论文（设计）答辩评审表单面打印外，其它文本可双面打印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论文的页面设置：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1.页边距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上边距：2.54cm；下边距：2.54cm；左边距：3.17cm；右边距：3.17cm；行间距为1.25倍行距。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2.页码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论文页码从正文序论部分开始，至附录，用阿拉伯数字连续编排，页码位于页面底端居中。毕业论文（设计）答辩评审表、毕业论文（设计）检测报告首页、毕业论文（设计）诚信承诺书，不编入论文页码。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（二）文本格式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1.题目和标题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①论文（设计）题目：宋体小三号加粗，可以分为1或2行居中打印。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②摘要（中文）：论文题目下空一行，另起一行，首行缩进两格排印“摘要：”，宋体小四号加粗，标点符号占一格，其余内容为宋体小四号，单倍行距。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③关键词（中文）：摘要下另起一行，首行缩进两格排印“关键词：”，宋体小四号加粗；关键词条为宋体小四号，每个词条之间用分号隔开，最后一个后面不使用任何标点符号。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④各级标题：宋体小四号加粗打印。理科以“1”、“1.1”、“1.1.1”等数字依次标出，左起打印；文科以“一、”、“（一）”、“1.”等数字依次标出，首行缩进两格打印。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2.正文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①正文文本：宋体小四号，除各级标题需按标题要求排版外，每段首行缩进两格。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②图：毕业论文（设计）的插图应与文字紧密配合，文图相符，内容正确。选图要力求精练。插图应符合国家标准及专业规范。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每幅插图均应有图题(由图号和图名组成)。图题置于图下居中，图题中文字体为五号楷体。采用中英文对照时，为 Times New Roman 五号字体，另起一行居中，与中文图题对应。图号按全文出现顺序以阿拉伯数字编排。图中若有分图时，分图号用(a)、(b)等置于分图之下。引用图应说明出处，在图题右上角加参考文献号。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③表格：每个表格应有自己的表号和表题，构成表头。表格按全文出现的顺序以阿拉伯数字编号，表头以宋体五号加粗，位于表上居中，采用中英文对照时，为Times New Roman五号字体，另起一行居中，与中文表题对应。表头与表格为一整体，不得拆开排写于两页。表内须按规定的符号注明单位。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  <w:vertAlign w:val="superscript"/>
        </w:rPr>
      </w:pPr>
      <w:r>
        <w:rPr>
          <w:rFonts w:hint="eastAsia" w:ascii="仿宋" w:hAnsi="仿宋" w:eastAsia="仿宋" w:cs="仿宋"/>
          <w:sz w:val="28"/>
          <w:szCs w:val="28"/>
        </w:rPr>
        <w:t>表中若有附注时，用五号宋体写在表的下方，句末加标点。仅有一条附注时写成：“注：…… ”；有多条附注时，附注各项的序号用阿拉伯数字标出，例如：“注1：……”。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3.英文题目、摘要、关键词置于全文（含参考文献）后：以“Times New Roman”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字体小四号打印，排印格式与中文题目、摘要、关键词相对应。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4.注释：一般以圆圈加数字右上标的形式，在文中按各注出现的先后顺序编列注号，与注文对应。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如：佛教、道教观照外物、体认自我的法门是虚静的心态</w:t>
      </w:r>
      <w:r>
        <w:rPr>
          <w:position w:val="12"/>
          <w:sz w:val="12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注释可用脚注（将注文放在加注页稿纸的下端，参见本页下端）或尾注（将全部注文集中在文章末尾），具体要求参照相关学科规范格式。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zh-CN"/>
        </w:rPr>
        <w:t>5.</w:t>
      </w:r>
      <w:r>
        <w:rPr>
          <w:rFonts w:hint="eastAsia" w:ascii="仿宋" w:hAnsi="仿宋" w:eastAsia="仿宋" w:cs="仿宋"/>
          <w:sz w:val="28"/>
          <w:szCs w:val="28"/>
          <w:lang w:val="zh-CN" w:bidi="zh-CN"/>
        </w:rPr>
        <w:t>参考文献：按论文（设计）中参考文献出现的先后顺序以方括号加数字的格式连续编号，将序号标于文本右上角。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如：陈 XX 教授对此作了研究，其数学模型为……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[1]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序号与文后参考文献信息一一对应。一本著作在论文中多处引用时,应在参考文献中将页码归并到一起集中列于参考文献最后。</w:t>
      </w:r>
    </w:p>
    <w:p>
      <w:pPr>
        <w:spacing w:line="460" w:lineRule="exact"/>
        <w:ind w:firstLine="43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（三）参考文献著录格式示例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z w:val="28"/>
          <w:szCs w:val="28"/>
        </w:rPr>
        <w:t>参考文献的著录应符合国家有关标准及相关学科格式规范。参考文献的序号左顶格， 并用数字加方括号表示，如[1]，[2]，[3]，……，序号应与正文中的指示序号格式一致。每一参考文献条目的最后均以</w:t>
      </w:r>
      <w:r>
        <w:rPr>
          <w:rFonts w:hint="eastAsia" w:ascii="仿宋" w:hAnsi="仿宋" w:eastAsia="仿宋" w:cs="仿宋"/>
          <w:sz w:val="28"/>
          <w:szCs w:val="28"/>
          <w:lang w:bidi="zh-CN"/>
        </w:rPr>
        <w:t>“· ”结束。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zh-CN"/>
        </w:rPr>
        <w:t>各类参考文献条目的编排格式及参考示例如下：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连续出版物（期刊）[J]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[序号]作者.文献题名[J].刊名，年，卷（期）：起止页码.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例如：[1] 金显贺，王昌长，王忠东等.一种用于在线检测局部放电的数字滤波技术[J]. 清华大学学报（自然科学版),1993，33（4）：62-67.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专著[M]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[序号]作者.书名[M].版本（第 1 版不标注）.出版地：出版年，起止页码.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例如：[2] 刘少奇.论共产党员的修养[M]（1982 年版）.北京：人民出版社，1982，79～81.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3.论文集[C]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[序号]作者.题名.论文集名[C].出版地：出版年，起止页码.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例：[3]辛希孟.信息技术与信息服务国际研讨会论文集：A 集[C].昆明：云南人民出版社：1998，223～245.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4.学位论文[D]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[序号]作者.题名[D].保存地点：保存单位，年份.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例如：[4]李必成.论我党在抗战时期的民主党派政策[D].北京：北京国家图书馆，2001.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5.报纸文章[N]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[序号]作者.题名[N].报纸名，出版日期（版次）.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例如：[5]谢希德.创造学习的新思路[N].人民日报，1998-12-25（10）.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6.报告[R]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[序号]作者.题名[R].出版地：出版年.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例：[6]冯西桥.和反应堆压力管道与压力容器的 LBB 分析[R].北京：清华大学核能技术设计研究院，1997.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7.英文文献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英文文献格式基本与中文文献格式相对应。</w:t>
      </w:r>
    </w:p>
    <w:p>
      <w:pPr>
        <w:spacing w:line="460" w:lineRule="exact"/>
        <w:ind w:firstLine="43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外国作者的姓名书写格式遵从国际惯例。例如 A.Ashkin或 Ashkin A.</w:t>
      </w:r>
    </w:p>
    <w:p>
      <w:pPr>
        <w:pStyle w:val="4"/>
        <w:spacing w:line="460" w:lineRule="exact"/>
        <w:ind w:right="1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[7]Ashkin A.Forces of a single-beam gradient laser trap on a dielectric sphere in the ray regime[J].Biophysical Journal,1992,61:569-582.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8.电子文献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[序号]作者.[电子文献提名电子文献及载体类型标识]。电子文献出处或可获得地址，发表或更新日期（任选）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例：[8]王明亮.关于中国学术期刊标准化数据库系统工程的进展[EB/OL].http://www.cajcd.edu.cn/pub/wml.txt/980810-html,1998-08-16/1998-10-04</w:t>
      </w:r>
    </w:p>
    <w:p>
      <w:pPr>
        <w:spacing w:line="420" w:lineRule="exact"/>
        <w:ind w:left="580"/>
        <w:rPr>
          <w:rFonts w:ascii="仿宋" w:hAnsi="仿宋" w:eastAsia="仿宋" w:cs="仿宋"/>
          <w:sz w:val="28"/>
          <w:szCs w:val="28"/>
        </w:rPr>
      </w:pPr>
    </w:p>
    <w:p>
      <w:pPr>
        <w:spacing w:line="420" w:lineRule="exact"/>
        <w:ind w:firstLine="435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8.5pt;mso-position-horizontal:center;mso-position-horizontal-relative:margin;z-index:251659264;mso-width-relative:page;mso-height-relative:page;" filled="f" stroked="f" coordsize="21600,21600" o:gfxdata="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HvNfvTAAAAAwEAAA8AAAAAAAAAAQAgAAAAIgAAAGRycy9kb3ducmV2LnhtbFBLAQIUABQAAAAI&#10;AIdO4kCsOuTruQEAAHE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950" cy="152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8.5pt;mso-position-horizontal:center;mso-position-horizontal-relative:margin;z-index:251659264;mso-width-relative:page;mso-height-relative:page;" filled="f" stroked="f" coordsize="21600,21600" o:gfxdata="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B7zX70wAAAAMBAAAPAAAAAAAAAAEAIAAAACIAAABkcnMvZG93bnJldi54bWxQSwECFAAUAAAA&#10;CACHTuJATgb5qb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6F46C"/>
    <w:multiLevelType w:val="singleLevel"/>
    <w:tmpl w:val="1BA6F4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C19FC"/>
    <w:rsid w:val="0018720A"/>
    <w:rsid w:val="002A6790"/>
    <w:rsid w:val="00313A52"/>
    <w:rsid w:val="00427885"/>
    <w:rsid w:val="004A7739"/>
    <w:rsid w:val="00604681"/>
    <w:rsid w:val="006B2BDA"/>
    <w:rsid w:val="006E41CE"/>
    <w:rsid w:val="006E64ED"/>
    <w:rsid w:val="006F78FB"/>
    <w:rsid w:val="00752176"/>
    <w:rsid w:val="00836138"/>
    <w:rsid w:val="009F6DB5"/>
    <w:rsid w:val="00D47968"/>
    <w:rsid w:val="00DD7B57"/>
    <w:rsid w:val="00E720F4"/>
    <w:rsid w:val="00EB6BA7"/>
    <w:rsid w:val="01BA07C0"/>
    <w:rsid w:val="029F4D71"/>
    <w:rsid w:val="0B2608A9"/>
    <w:rsid w:val="0B7C5E50"/>
    <w:rsid w:val="0CFA72A2"/>
    <w:rsid w:val="101A3503"/>
    <w:rsid w:val="14004D2E"/>
    <w:rsid w:val="16F16342"/>
    <w:rsid w:val="185721F2"/>
    <w:rsid w:val="18ED6808"/>
    <w:rsid w:val="205B217E"/>
    <w:rsid w:val="20E179F9"/>
    <w:rsid w:val="244A631A"/>
    <w:rsid w:val="26BF084B"/>
    <w:rsid w:val="298F4E06"/>
    <w:rsid w:val="2B1C39F0"/>
    <w:rsid w:val="2D3C541C"/>
    <w:rsid w:val="2D6F2149"/>
    <w:rsid w:val="327B4375"/>
    <w:rsid w:val="38EA6950"/>
    <w:rsid w:val="39291ECB"/>
    <w:rsid w:val="3BEF289E"/>
    <w:rsid w:val="3D295DAD"/>
    <w:rsid w:val="3FCE760A"/>
    <w:rsid w:val="405744AE"/>
    <w:rsid w:val="40891388"/>
    <w:rsid w:val="43764503"/>
    <w:rsid w:val="449B6785"/>
    <w:rsid w:val="450E74EF"/>
    <w:rsid w:val="486727F4"/>
    <w:rsid w:val="49D230C8"/>
    <w:rsid w:val="535D3B07"/>
    <w:rsid w:val="56005E98"/>
    <w:rsid w:val="61A847EE"/>
    <w:rsid w:val="64C65A9F"/>
    <w:rsid w:val="65245AFA"/>
    <w:rsid w:val="681F494C"/>
    <w:rsid w:val="69C652B7"/>
    <w:rsid w:val="6C8F7B01"/>
    <w:rsid w:val="70002549"/>
    <w:rsid w:val="7282058B"/>
    <w:rsid w:val="77386FCB"/>
    <w:rsid w:val="779C19FC"/>
    <w:rsid w:val="7A7157A2"/>
    <w:rsid w:val="7B6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eastAsiaTheme="majorEastAsia"/>
      <w:b/>
      <w:kern w:val="44"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73"/>
      <w:ind w:left="101"/>
    </w:pPr>
    <w:rPr>
      <w:rFonts w:ascii="宋体" w:hAnsi="宋体" w:eastAsia="宋体" w:cs="宋体"/>
      <w:sz w:val="24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1"/>
    <w:pPr>
      <w:spacing w:before="1"/>
      <w:ind w:left="1182" w:hanging="60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1213</Words>
  <Characters>6915</Characters>
  <Lines>57</Lines>
  <Paragraphs>16</Paragraphs>
  <TotalTime>12</TotalTime>
  <ScaleCrop>false</ScaleCrop>
  <LinksUpToDate>false</LinksUpToDate>
  <CharactersWithSpaces>8112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2021-11-03T01:44:00Z</dcterms:created>
  <dc:creator>宓</dc:creator>
  <cp:lastModifiedBy>妞妞</cp:lastModifiedBy>
  <cp:lastPrinted>2021-11-08T03:47:30Z</cp:lastPrinted>
  <dcterms:modified xsi:type="dcterms:W3CDTF">2021-11-08T03:50:13Z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9A6BE63BE0CC4AEAB6719AA6F6043BD3</vt:lpwstr>
  </property>
</Properties>
</file>